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3"/>
        <w:spacing w:before="0"/>
        <w:rPr>
          <w:sz w:val="28"/>
          <w:szCs w:val="28"/>
        </w:rPr>
      </w:pPr>
      <w:r>
        <w:rPr>
          <w:sz w:val="28"/>
          <w:szCs w:val="28"/>
        </w:rPr>
        <w:t>СООБЩЕНИЕ</w:t>
      </w:r>
    </w:p>
    <w:p>
      <w:pPr>
        <w:pStyle w:val="2"/>
        <w:jc w:val="center"/>
        <w:rPr>
          <w:b/>
          <w:bCs/>
          <w:i w:val="0"/>
          <w:iCs w:val="0"/>
          <w:szCs w:val="28"/>
        </w:rPr>
      </w:pPr>
      <w:r>
        <w:rPr>
          <w:b/>
          <w:bCs/>
          <w:i w:val="0"/>
          <w:iCs w:val="0"/>
          <w:szCs w:val="28"/>
        </w:rPr>
        <w:t>о проведении внеочередного Общего собрания акционеров</w:t>
      </w:r>
    </w:p>
    <w:p>
      <w:pPr>
        <w:pStyle w:val="2"/>
        <w:jc w:val="center"/>
        <w:rPr>
          <w:b/>
          <w:bCs/>
          <w:i w:val="0"/>
          <w:iCs w:val="0"/>
          <w:szCs w:val="28"/>
        </w:rPr>
      </w:pPr>
      <w:r>
        <w:rPr>
          <w:b/>
          <w:bCs/>
          <w:i w:val="0"/>
          <w:iCs w:val="0"/>
          <w:szCs w:val="28"/>
        </w:rPr>
        <w:t xml:space="preserve">Акционерного общества «Газпром космические системы» </w:t>
      </w:r>
      <w:r>
        <w:rPr>
          <w:b/>
          <w:bCs/>
          <w:i w:val="0"/>
          <w:iCs w:val="0"/>
          <w:szCs w:val="28"/>
        </w:rPr>
        <w:br/>
        <w:t>(АО «Газпром космические системы»)</w:t>
      </w:r>
    </w:p>
    <w:p>
      <w:pPr>
        <w:pStyle w:val="30"/>
        <w:jc w:val="center"/>
        <w:rPr>
          <w:szCs w:val="28"/>
        </w:rPr>
      </w:pPr>
      <w:r>
        <w:rPr>
          <w:szCs w:val="28"/>
        </w:rPr>
        <w:t xml:space="preserve">Место нахождения Общества: </w:t>
      </w:r>
      <w:r>
        <w:rPr>
          <w:color w:val="000000"/>
          <w:szCs w:val="28"/>
        </w:rPr>
        <w:t>Российская Федерация</w:t>
      </w:r>
      <w:r>
        <w:rPr>
          <w:szCs w:val="28"/>
        </w:rPr>
        <w:t xml:space="preserve">, </w:t>
      </w:r>
      <w:r>
        <w:rPr>
          <w:szCs w:val="28"/>
        </w:rPr>
        <w:br/>
        <w:t>Московская область, г. Щелково</w:t>
      </w:r>
    </w:p>
    <w:p>
      <w:pPr>
        <w:pStyle w:val="20"/>
        <w:rPr>
          <w:szCs w:val="28"/>
        </w:rPr>
      </w:pPr>
    </w:p>
    <w:p>
      <w:pPr>
        <w:pStyle w:val="20"/>
        <w:jc w:val="center"/>
        <w:rPr>
          <w:b/>
          <w:bCs/>
          <w:szCs w:val="28"/>
        </w:rPr>
      </w:pPr>
      <w:r>
        <w:rPr>
          <w:b/>
          <w:bCs/>
          <w:szCs w:val="28"/>
        </w:rPr>
        <w:t>УВАЖАЕМЫЙ АКЦИОНЕР!</w:t>
      </w:r>
    </w:p>
    <w:p>
      <w:pPr>
        <w:pStyle w:val="20"/>
        <w:rPr>
          <w:szCs w:val="28"/>
        </w:rPr>
      </w:pPr>
    </w:p>
    <w:p>
      <w:pPr>
        <w:pStyle w:val="20"/>
        <w:ind w:firstLine="709"/>
        <w:rPr>
          <w:szCs w:val="28"/>
        </w:rPr>
      </w:pPr>
      <w:r>
        <w:rPr>
          <w:szCs w:val="28"/>
        </w:rPr>
        <w:t>В соответствии с решением Совета директоров АО «Газпром космические системы» (протокол от 18 сентября 2023 г. № 144</w:t>
      </w:r>
      <w:bookmarkStart w:id="0" w:name="_GoBack"/>
      <w:bookmarkEnd w:id="0"/>
      <w:r>
        <w:rPr>
          <w:szCs w:val="28"/>
        </w:rPr>
        <w:t>) уведомляем Вас о проведении внеочередного Общего собрания акционеров АО «Газпром космические системы» в форме заочного голосования со следующей повесткой дня:</w:t>
      </w:r>
    </w:p>
    <w:p>
      <w:pPr>
        <w:pStyle w:val="20"/>
        <w:ind w:firstLine="709"/>
        <w:rPr>
          <w:szCs w:val="28"/>
        </w:rPr>
      </w:pPr>
      <w:r>
        <w:rPr>
          <w:szCs w:val="28"/>
        </w:rPr>
        <w:t>«О последующем одобрении крупной сделки АО «Газпром космические системы».</w:t>
      </w:r>
    </w:p>
    <w:p>
      <w:pPr>
        <w:tabs>
          <w:tab w:val="num" w:pos="0"/>
          <w:tab w:val="left" w:pos="1440"/>
          <w:tab w:val="left" w:pos="9637"/>
        </w:tabs>
        <w:ind w:firstLine="709"/>
        <w:jc w:val="both"/>
        <w:rPr>
          <w:sz w:val="28"/>
          <w:szCs w:val="28"/>
        </w:rPr>
      </w:pPr>
      <w:r>
        <w:rPr>
          <w:sz w:val="28"/>
          <w:szCs w:val="28"/>
        </w:rPr>
        <w:t>Дата окончания приема бюллетеней для голосования по вопросам повестки дня внеочередного Общего собрания акционеров:</w:t>
      </w:r>
      <w:r>
        <w:rPr>
          <w:b/>
          <w:bCs/>
          <w:sz w:val="28"/>
          <w:szCs w:val="28"/>
        </w:rPr>
        <w:t xml:space="preserve"> </w:t>
      </w:r>
      <w:r>
        <w:rPr>
          <w:b/>
          <w:sz w:val="28"/>
          <w:szCs w:val="28"/>
        </w:rPr>
        <w:t>24 октября</w:t>
      </w:r>
      <w:r>
        <w:rPr>
          <w:b/>
          <w:bCs/>
          <w:sz w:val="28"/>
          <w:szCs w:val="28"/>
        </w:rPr>
        <w:t xml:space="preserve"> </w:t>
      </w:r>
      <w:r>
        <w:rPr>
          <w:b/>
          <w:sz w:val="28"/>
          <w:szCs w:val="28"/>
        </w:rPr>
        <w:t>2023 г.</w:t>
      </w:r>
    </w:p>
    <w:p>
      <w:pPr>
        <w:pStyle w:val="3"/>
        <w:tabs>
          <w:tab w:val="num" w:pos="0"/>
          <w:tab w:val="left" w:pos="9637"/>
        </w:tabs>
        <w:ind w:left="0" w:firstLine="709"/>
        <w:rPr>
          <w:spacing w:val="-2"/>
          <w:szCs w:val="28"/>
        </w:rPr>
      </w:pPr>
      <w:r>
        <w:rPr>
          <w:szCs w:val="28"/>
        </w:rPr>
        <w:t xml:space="preserve">Почтовый адрес для направления заполненных бюллетеней: а/я 1860, </w:t>
      </w:r>
      <w:r>
        <w:rPr>
          <w:szCs w:val="28"/>
        </w:rPr>
        <w:br/>
        <w:t>ОПС Щелково-12, Московская область, Российская Федерация, 141112.</w:t>
      </w:r>
      <w:r>
        <w:rPr>
          <w:spacing w:val="-2"/>
          <w:szCs w:val="28"/>
        </w:rPr>
        <w:t xml:space="preserve"> </w:t>
      </w:r>
    </w:p>
    <w:p>
      <w:pPr>
        <w:ind w:firstLine="709"/>
        <w:jc w:val="both"/>
        <w:rPr>
          <w:bCs/>
          <w:sz w:val="28"/>
          <w:szCs w:val="28"/>
        </w:rPr>
      </w:pPr>
      <w:r>
        <w:rPr>
          <w:bCs/>
          <w:sz w:val="28"/>
          <w:szCs w:val="28"/>
        </w:rPr>
        <w:t xml:space="preserve">Дата </w:t>
      </w:r>
      <w:r>
        <w:rPr>
          <w:sz w:val="28"/>
          <w:szCs w:val="28"/>
        </w:rPr>
        <w:t>определения (фиксации) лиц, имеющих право на участие во внеочередном Общем собрании акционеров</w:t>
      </w:r>
      <w:r>
        <w:rPr>
          <w:bCs/>
          <w:sz w:val="28"/>
          <w:szCs w:val="28"/>
        </w:rPr>
        <w:t xml:space="preserve"> АО «Газпром космические системы»: 29 сентября 2023 г.</w:t>
      </w:r>
    </w:p>
    <w:p>
      <w:pPr>
        <w:ind w:firstLine="709"/>
        <w:jc w:val="both"/>
        <w:rPr>
          <w:bCs/>
          <w:sz w:val="28"/>
          <w:szCs w:val="28"/>
        </w:rPr>
      </w:pPr>
      <w:r>
        <w:rPr>
          <w:bCs/>
          <w:sz w:val="28"/>
          <w:szCs w:val="28"/>
        </w:rPr>
        <w:t xml:space="preserve">Дата составления списка акционеров АО «Газпром космические системы», имеющих право требовать выкупа Обществом принадлежащих им акций: </w:t>
      </w:r>
      <w:r>
        <w:rPr>
          <w:bCs/>
          <w:sz w:val="28"/>
          <w:szCs w:val="28"/>
        </w:rPr>
        <w:br/>
        <w:t>29 сентября 2023 г.</w:t>
      </w:r>
    </w:p>
    <w:p>
      <w:pPr>
        <w:ind w:firstLine="709"/>
        <w:jc w:val="both"/>
        <w:rPr>
          <w:sz w:val="28"/>
          <w:szCs w:val="28"/>
        </w:rPr>
      </w:pPr>
      <w:r>
        <w:rPr>
          <w:sz w:val="28"/>
          <w:szCs w:val="28"/>
        </w:rPr>
        <w:t xml:space="preserve">Информация (материалы) предоставляется для ознакомления лицам, имеющим право на участие во внеочередном Общем собрании акционеров, </w:t>
      </w:r>
      <w:r>
        <w:rPr>
          <w:sz w:val="28"/>
          <w:szCs w:val="28"/>
        </w:rPr>
        <w:br/>
        <w:t>в течение 20 дней до даты его проведения в помещении АО «Газпром космические системы» (Российская Федерация, Московская область, г. Щелково, ул. Московская, д. 77Б). По требованию лиц, имеющих право на участие во внеочередном Общем собрании акционеров Общества, информация (материалы) будет направлена им в виде копий или в форме электронных документов.</w:t>
      </w:r>
    </w:p>
    <w:p>
      <w:pPr>
        <w:ind w:firstLine="709"/>
        <w:jc w:val="both"/>
        <w:rPr>
          <w:sz w:val="28"/>
          <w:szCs w:val="28"/>
        </w:rPr>
      </w:pPr>
      <w:r>
        <w:rPr>
          <w:sz w:val="28"/>
          <w:szCs w:val="28"/>
        </w:rPr>
        <w:t>Во внеочередном Общем собрании акционеров имеют право принимать участие и голосовать по всем вопросам повестки дня владельцы обыкновенных именных бездокументарных акций Общества (или их представители по доверенности).</w:t>
      </w:r>
    </w:p>
    <w:p>
      <w:pPr>
        <w:ind w:firstLine="709"/>
        <w:jc w:val="both"/>
        <w:rPr>
          <w:sz w:val="28"/>
          <w:szCs w:val="28"/>
        </w:rPr>
      </w:pPr>
      <w:r>
        <w:rPr>
          <w:sz w:val="28"/>
          <w:szCs w:val="28"/>
        </w:rPr>
        <w:t>В соответствии с пунктом 1 статьи 75 Федерального закона «Об акционерных обществах» акционеры </w:t>
      </w:r>
      <w:r>
        <w:rPr>
          <w:sz w:val="28"/>
          <w:szCs w:val="28"/>
        </w:rPr>
        <w:sym w:font="Symbol" w:char="F02D"/>
      </w:r>
      <w:r>
        <w:rPr>
          <w:sz w:val="28"/>
          <w:szCs w:val="28"/>
        </w:rPr>
        <w:t xml:space="preserve">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если они голосовали </w:t>
      </w:r>
      <w:r>
        <w:rPr>
          <w:sz w:val="28"/>
          <w:szCs w:val="28"/>
        </w:rPr>
        <w:lastRenderedPageBreak/>
        <w:t>против принятия решения о согласии на совершение или о последующем одобрении указанной сделки либо не принимали участия в голосовании по такому вопросу.</w:t>
      </w:r>
    </w:p>
    <w:p>
      <w:pPr>
        <w:ind w:firstLine="709"/>
        <w:jc w:val="both"/>
        <w:rPr>
          <w:sz w:val="28"/>
          <w:szCs w:val="28"/>
        </w:rPr>
      </w:pPr>
      <w:r>
        <w:rPr>
          <w:sz w:val="28"/>
          <w:szCs w:val="28"/>
        </w:rPr>
        <w:t xml:space="preserve">В соответствии с пунктом 3 статьи 75 и статьей 77 Федерального закона «Об акционерных обществах» выкуп акций Обществом осуществляется по цене, определенной Советом директоров. </w:t>
      </w:r>
    </w:p>
    <w:p>
      <w:pPr>
        <w:ind w:firstLine="709"/>
        <w:jc w:val="both"/>
        <w:rPr>
          <w:sz w:val="28"/>
          <w:szCs w:val="28"/>
        </w:rPr>
      </w:pPr>
      <w:r>
        <w:rPr>
          <w:sz w:val="28"/>
          <w:szCs w:val="28"/>
        </w:rPr>
        <w:t>На основании решения Совета директоров АО «Газпром космические системы» определена цена одной обыкновенной именной бездокументарной акции Общества для целей выкупа Обществом у акционеров АО «Газпром космические системы» принадлежащих им акций в размере 287 (Двести восемьдесят семь) рублей за одну акцию.</w:t>
      </w:r>
    </w:p>
    <w:p>
      <w:pPr>
        <w:ind w:firstLine="709"/>
        <w:jc w:val="both"/>
        <w:rPr>
          <w:bCs/>
          <w:iCs/>
          <w:sz w:val="28"/>
          <w:szCs w:val="28"/>
        </w:rPr>
      </w:pPr>
      <w:r>
        <w:rPr>
          <w:sz w:val="28"/>
          <w:szCs w:val="28"/>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w:t>
      </w:r>
      <w:r>
        <w:rPr>
          <w:sz w:val="28"/>
          <w:szCs w:val="28"/>
        </w:rPr>
        <w:sym w:font="Symbol" w:char="F02D"/>
      </w:r>
      <w:r>
        <w:rPr>
          <w:sz w:val="28"/>
          <w:szCs w:val="28"/>
        </w:rPr>
        <w:t> Акционерному обществу «Специализированный регистратор – Держатель реестров акционеров газовой промышленности» (АО «ДРАГА»)</w:t>
      </w:r>
      <w:r>
        <w:rPr>
          <w:sz w:val="28"/>
          <w:szCs w:val="28"/>
          <w:lang w:val="x-none"/>
        </w:rPr>
        <w:t xml:space="preserve"> </w:t>
      </w:r>
      <w:r>
        <w:rPr>
          <w:sz w:val="28"/>
          <w:szCs w:val="28"/>
          <w:lang w:val="x-none"/>
        </w:rPr>
        <w:br/>
      </w:r>
      <w:r>
        <w:rPr>
          <w:bCs/>
          <w:iCs/>
          <w:sz w:val="28"/>
          <w:szCs w:val="28"/>
        </w:rPr>
        <w:t xml:space="preserve">по адресу: г. Санкт-Петербург, ул. Большая Зеленина, д. 8, к. 2, литера А, помещение 42Н,  </w:t>
      </w:r>
      <w:r>
        <w:rPr>
          <w:sz w:val="28"/>
          <w:szCs w:val="28"/>
        </w:rPr>
        <w:t>а также в</w:t>
      </w:r>
      <w:r>
        <w:rPr>
          <w:bCs/>
          <w:iCs/>
          <w:sz w:val="28"/>
          <w:szCs w:val="28"/>
        </w:rPr>
        <w:t xml:space="preserve"> филиал АО «ДРАГА» в г. Королеве, осуществляющий ведение реестра владельцев именных ценных бумаг Общества, по адресу</w:t>
      </w:r>
      <w:r>
        <w:rPr>
          <w:sz w:val="28"/>
          <w:szCs w:val="28"/>
        </w:rPr>
        <w:t xml:space="preserve">: Московская обл., г. Королев, ул. Циолковского, д. 4А, путем направления по почте либо вручения под роспись документа в письменной форме, подписанного акционером. </w:t>
      </w:r>
    </w:p>
    <w:p>
      <w:pPr>
        <w:ind w:firstLine="709"/>
        <w:jc w:val="both"/>
        <w:rPr>
          <w:sz w:val="28"/>
          <w:szCs w:val="28"/>
        </w:rPr>
      </w:pPr>
      <w:r>
        <w:rPr>
          <w:sz w:val="28"/>
          <w:szCs w:val="28"/>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pPr>
        <w:ind w:firstLine="709"/>
        <w:jc w:val="both"/>
        <w:rPr>
          <w:sz w:val="28"/>
          <w:szCs w:val="28"/>
        </w:rPr>
      </w:pPr>
      <w:r>
        <w:rPr>
          <w:sz w:val="28"/>
          <w:szCs w:val="28"/>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w:t>
      </w:r>
    </w:p>
    <w:p>
      <w:pPr>
        <w:ind w:firstLine="709"/>
        <w:jc w:val="both"/>
        <w:rPr>
          <w:sz w:val="28"/>
          <w:szCs w:val="28"/>
        </w:rPr>
      </w:pPr>
      <w:r>
        <w:rPr>
          <w:sz w:val="28"/>
          <w:szCs w:val="28"/>
        </w:rPr>
        <w:t xml:space="preserve">Выкуп АО «Газпром космические системы» акций, принадлежащих акционерам, будет осуществляться в порядке и в сроки, определенные статьей </w:t>
      </w:r>
      <w:r>
        <w:rPr>
          <w:sz w:val="28"/>
          <w:szCs w:val="28"/>
        </w:rPr>
        <w:br/>
        <w:t>76 Федерального закона «Об акционерных обществах».</w:t>
      </w:r>
    </w:p>
    <w:p>
      <w:pPr>
        <w:ind w:firstLine="709"/>
        <w:jc w:val="both"/>
        <w:rPr>
          <w:sz w:val="28"/>
          <w:szCs w:val="28"/>
        </w:rPr>
      </w:pPr>
    </w:p>
    <w:p>
      <w:pPr>
        <w:ind w:firstLine="709"/>
        <w:jc w:val="both"/>
        <w:rPr>
          <w:sz w:val="28"/>
          <w:szCs w:val="28"/>
        </w:rPr>
      </w:pPr>
    </w:p>
    <w:p>
      <w:pPr>
        <w:ind w:left="2126"/>
        <w:jc w:val="right"/>
        <w:rPr>
          <w:b/>
          <w:bCs/>
          <w:sz w:val="28"/>
          <w:szCs w:val="28"/>
        </w:rPr>
      </w:pPr>
      <w:r>
        <w:rPr>
          <w:b/>
          <w:bCs/>
          <w:sz w:val="28"/>
          <w:szCs w:val="28"/>
        </w:rPr>
        <w:t>Совет директоров АО «Газпром космические системы»</w:t>
      </w:r>
    </w:p>
    <w:sectPr>
      <w:headerReference w:type="default" r:id="rId7"/>
      <w:pgSz w:w="11906" w:h="16838"/>
      <w:pgMar w:top="1134" w:right="851" w:bottom="1134" w:left="1418" w:header="8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425764"/>
      <w:docPartObj>
        <w:docPartGallery w:val="Page Numbers (Top of Page)"/>
        <w:docPartUnique/>
      </w:docPartObj>
    </w:sdtPr>
    <w:sdtContent>
      <w:p>
        <w:pPr>
          <w:pStyle w:val="a5"/>
          <w:jc w:val="center"/>
        </w:pPr>
        <w:r>
          <w:fldChar w:fldCharType="begin"/>
        </w:r>
        <w:r>
          <w:instrText>PAGE   \* MERGEFORMAT</w:instrText>
        </w:r>
        <w:r>
          <w:fldChar w:fldCharType="separate"/>
        </w:r>
        <w:r>
          <w:rPr>
            <w:noProof/>
          </w:rPr>
          <w:t>2</w:t>
        </w:r>
        <w:r>
          <w:fldChar w:fldCharType="end"/>
        </w:r>
      </w:p>
    </w:sdtContent>
  </w:sdt>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14F"/>
    <w:multiLevelType w:val="hybridMultilevel"/>
    <w:tmpl w:val="AD366256"/>
    <w:lvl w:ilvl="0" w:tplc="CB786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3F5162"/>
    <w:multiLevelType w:val="hybridMultilevel"/>
    <w:tmpl w:val="C3BA4794"/>
    <w:lvl w:ilvl="0" w:tplc="FD6CCE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595094C"/>
    <w:multiLevelType w:val="hybridMultilevel"/>
    <w:tmpl w:val="9D102020"/>
    <w:lvl w:ilvl="0" w:tplc="E52668C6">
      <w:start w:val="1"/>
      <w:numFmt w:val="bullet"/>
      <w:lvlText w:val=""/>
      <w:lvlJc w:val="left"/>
      <w:pPr>
        <w:tabs>
          <w:tab w:val="num" w:pos="1080"/>
        </w:tabs>
        <w:ind w:left="1080" w:hanging="360"/>
      </w:pPr>
      <w:rPr>
        <w:rFonts w:ascii="Symbol" w:hAnsi="Symbol" w:cs="Times New Roman" w:hint="default"/>
      </w:rPr>
    </w:lvl>
    <w:lvl w:ilvl="1" w:tplc="04190001">
      <w:start w:val="1"/>
      <w:numFmt w:val="bullet"/>
      <w:lvlText w:val=""/>
      <w:lvlJc w:val="left"/>
      <w:pPr>
        <w:tabs>
          <w:tab w:val="num" w:pos="1800"/>
        </w:tabs>
        <w:ind w:left="1800" w:hanging="360"/>
      </w:pPr>
      <w:rPr>
        <w:rFonts w:ascii="Symbol" w:hAnsi="Symbol" w:cs="Times New Roman" w:hint="default"/>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3" w15:restartNumberingAfterBreak="0">
    <w:nsid w:val="28574D3E"/>
    <w:multiLevelType w:val="hybridMultilevel"/>
    <w:tmpl w:val="0E90128C"/>
    <w:lvl w:ilvl="0" w:tplc="0419000F">
      <w:start w:val="1"/>
      <w:numFmt w:val="decimal"/>
      <w:lvlText w:val="%1."/>
      <w:lvlJc w:val="left"/>
      <w:pPr>
        <w:tabs>
          <w:tab w:val="num" w:pos="2062"/>
        </w:tabs>
        <w:ind w:left="2062" w:hanging="360"/>
      </w:p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AFA045F"/>
    <w:multiLevelType w:val="hybridMultilevel"/>
    <w:tmpl w:val="9ACCEFB4"/>
    <w:lvl w:ilvl="0" w:tplc="04190011">
      <w:start w:val="1"/>
      <w:numFmt w:val="decimal"/>
      <w:lvlText w:val="%1)"/>
      <w:lvlJc w:val="left"/>
      <w:pPr>
        <w:tabs>
          <w:tab w:val="num" w:pos="2062"/>
        </w:tabs>
        <w:ind w:left="2062"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4AE90A98"/>
    <w:multiLevelType w:val="hybridMultilevel"/>
    <w:tmpl w:val="9D102020"/>
    <w:lvl w:ilvl="0" w:tplc="E52668C6">
      <w:start w:val="1"/>
      <w:numFmt w:val="bullet"/>
      <w:lvlText w:val=""/>
      <w:lvlJc w:val="left"/>
      <w:pPr>
        <w:tabs>
          <w:tab w:val="num" w:pos="1080"/>
        </w:tabs>
        <w:ind w:left="1080" w:hanging="360"/>
      </w:pPr>
      <w:rPr>
        <w:rFonts w:ascii="Symbol" w:hAnsi="Symbol" w:cs="Times New Roman" w:hint="default"/>
      </w:rPr>
    </w:lvl>
    <w:lvl w:ilvl="1" w:tplc="04190001">
      <w:start w:val="1"/>
      <w:numFmt w:val="bullet"/>
      <w:lvlText w:val=""/>
      <w:lvlJc w:val="left"/>
      <w:pPr>
        <w:tabs>
          <w:tab w:val="num" w:pos="1800"/>
        </w:tabs>
        <w:ind w:left="1800" w:hanging="360"/>
      </w:pPr>
      <w:rPr>
        <w:rFonts w:ascii="Symbol" w:hAnsi="Symbol" w:cs="Times New Roman" w:hint="default"/>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535775EB"/>
    <w:multiLevelType w:val="multilevel"/>
    <w:tmpl w:val="6A6627E8"/>
    <w:lvl w:ilvl="0">
      <w:start w:val="1"/>
      <w:numFmt w:val="decimal"/>
      <w:pStyle w:val="-"/>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0"/>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1"/>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5CBF64AC"/>
    <w:multiLevelType w:val="hybridMultilevel"/>
    <w:tmpl w:val="747AED22"/>
    <w:lvl w:ilvl="0" w:tplc="0419000F">
      <w:start w:val="1"/>
      <w:numFmt w:val="decimal"/>
      <w:lvlText w:val="%1."/>
      <w:lvlJc w:val="left"/>
      <w:pPr>
        <w:tabs>
          <w:tab w:val="num" w:pos="720"/>
        </w:tabs>
        <w:ind w:left="720" w:hanging="360"/>
      </w:pPr>
      <w:rPr>
        <w:rFonts w:ascii="Times New Roman" w:hAnsi="Times New Roman" w:cs="Times New Roman"/>
      </w:rPr>
    </w:lvl>
    <w:lvl w:ilvl="1" w:tplc="04190001">
      <w:start w:val="1"/>
      <w:numFmt w:val="bullet"/>
      <w:lvlText w:val=""/>
      <w:lvlJc w:val="left"/>
      <w:pPr>
        <w:tabs>
          <w:tab w:val="num" w:pos="1440"/>
        </w:tabs>
        <w:ind w:left="1440" w:hanging="360"/>
      </w:pPr>
      <w:rPr>
        <w:rFonts w:ascii="Symbol" w:hAnsi="Symbol" w:cs="Times New Roman" w:hint="default"/>
      </w:rPr>
    </w:lvl>
    <w:lvl w:ilvl="2" w:tplc="04190005">
      <w:start w:val="1"/>
      <w:numFmt w:val="bullet"/>
      <w:lvlText w:val=""/>
      <w:lvlJc w:val="left"/>
      <w:pPr>
        <w:tabs>
          <w:tab w:val="num" w:pos="2340"/>
        </w:tabs>
        <w:ind w:left="2340" w:hanging="360"/>
      </w:pPr>
      <w:rPr>
        <w:rFonts w:ascii="Wingdings" w:hAnsi="Wingdings" w:cs="Times New Roman" w:hint="default"/>
      </w:rPr>
    </w:lvl>
    <w:lvl w:ilvl="3" w:tplc="505AEA58">
      <w:start w:val="1"/>
      <w:numFmt w:val="decimal"/>
      <w:lvlText w:val="%4."/>
      <w:lvlJc w:val="left"/>
      <w:pPr>
        <w:tabs>
          <w:tab w:val="num" w:pos="3225"/>
        </w:tabs>
        <w:ind w:left="3225" w:hanging="705"/>
      </w:pPr>
      <w:rPr>
        <w:rFonts w:ascii="Times New Roman" w:hAnsi="Times New Roman" w:cs="Times New Roman" w:hint="default"/>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7"/>
  </w:num>
  <w:num w:numId="3">
    <w:abstractNumId w:val="4"/>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5D0A0B8-209A-411B-81BF-1B4C4B68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outlineLvl w:val="1"/>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pPr>
      <w:jc w:val="both"/>
    </w:pPr>
    <w:rPr>
      <w:sz w:val="28"/>
      <w:szCs w:val="20"/>
    </w:rPr>
  </w:style>
  <w:style w:type="paragraph" w:styleId="21">
    <w:name w:val="Body Text Indent 2"/>
    <w:basedOn w:val="a"/>
    <w:pPr>
      <w:ind w:firstLine="720"/>
      <w:jc w:val="both"/>
    </w:pPr>
    <w:rPr>
      <w:sz w:val="28"/>
      <w:szCs w:val="28"/>
    </w:rPr>
  </w:style>
  <w:style w:type="paragraph" w:styleId="3">
    <w:name w:val="Body Text Indent 3"/>
    <w:basedOn w:val="a"/>
    <w:pPr>
      <w:ind w:left="720"/>
      <w:jc w:val="both"/>
    </w:pPr>
    <w:rPr>
      <w:sz w:val="28"/>
      <w:szCs w:val="27"/>
    </w:rPr>
  </w:style>
  <w:style w:type="paragraph" w:styleId="30">
    <w:name w:val="Body Text 3"/>
    <w:basedOn w:val="a"/>
    <w:rPr>
      <w:b/>
      <w:bCs/>
      <w:sz w:val="28"/>
      <w:szCs w:val="20"/>
    </w:rPr>
  </w:style>
  <w:style w:type="paragraph" w:styleId="a3">
    <w:name w:val="Title"/>
    <w:basedOn w:val="a"/>
    <w:qFormat/>
    <w:pPr>
      <w:widowControl w:val="0"/>
      <w:shd w:val="clear" w:color="auto" w:fill="FFFFFF"/>
      <w:tabs>
        <w:tab w:val="left" w:leader="underscore" w:pos="0"/>
      </w:tabs>
      <w:spacing w:before="120"/>
      <w:jc w:val="center"/>
    </w:pPr>
    <w:rPr>
      <w:b/>
      <w:bCs/>
    </w:rPr>
  </w:style>
  <w:style w:type="paragraph" w:styleId="a4">
    <w:name w:val="Balloon Text"/>
    <w:basedOn w:val="a"/>
    <w:semiHidden/>
    <w:rPr>
      <w:rFonts w:ascii="Tahoma" w:hAnsi="Tahoma" w:cs="Tahoma"/>
      <w:sz w:val="16"/>
      <w:szCs w:val="16"/>
    </w:rPr>
  </w:style>
  <w:style w:type="paragraph" w:customStyle="1" w:styleId="-1">
    <w:name w:val="Контракт - подпункт"/>
    <w:basedOn w:val="a"/>
    <w:pPr>
      <w:widowControl w:val="0"/>
      <w:numPr>
        <w:ilvl w:val="2"/>
        <w:numId w:val="4"/>
      </w:numPr>
      <w:spacing w:after="120"/>
      <w:jc w:val="both"/>
    </w:pPr>
    <w:rPr>
      <w:rFonts w:eastAsia="Batang"/>
      <w:sz w:val="28"/>
      <w:szCs w:val="28"/>
      <w:lang w:eastAsia="ko-KR"/>
    </w:rPr>
  </w:style>
  <w:style w:type="paragraph" w:customStyle="1" w:styleId="-0">
    <w:name w:val="Контракт - Пункт"/>
    <w:basedOn w:val="a"/>
    <w:pPr>
      <w:widowControl w:val="0"/>
      <w:numPr>
        <w:ilvl w:val="1"/>
        <w:numId w:val="4"/>
      </w:numPr>
      <w:spacing w:after="120"/>
      <w:jc w:val="both"/>
    </w:pPr>
    <w:rPr>
      <w:rFonts w:eastAsia="Batang"/>
      <w:sz w:val="28"/>
      <w:szCs w:val="28"/>
      <w:lang w:eastAsia="ko-KR"/>
    </w:rPr>
  </w:style>
  <w:style w:type="paragraph" w:customStyle="1" w:styleId="-">
    <w:name w:val="Контракт - статья"/>
    <w:basedOn w:val="1"/>
    <w:pPr>
      <w:widowControl w:val="0"/>
      <w:numPr>
        <w:numId w:val="4"/>
      </w:numPr>
      <w:tabs>
        <w:tab w:val="clear" w:pos="2268"/>
        <w:tab w:val="num" w:pos="720"/>
      </w:tabs>
      <w:spacing w:before="480" w:after="240"/>
      <w:ind w:left="720" w:hanging="360"/>
      <w:jc w:val="both"/>
      <w:outlineLvl w:val="9"/>
    </w:pPr>
    <w:rPr>
      <w:rFonts w:ascii="Times New Roman" w:eastAsia="Batang" w:hAnsi="Times New Roman"/>
      <w:caps/>
      <w:sz w:val="28"/>
      <w:szCs w:val="28"/>
      <w:lang w:eastAsia="ko-KR"/>
    </w:rPr>
  </w:style>
  <w:style w:type="character" w:customStyle="1" w:styleId="10">
    <w:name w:val="Заголовок 1 Знак"/>
    <w:link w:val="1"/>
    <w:rPr>
      <w:rFonts w:ascii="Calibri Light" w:eastAsia="Times New Roman" w:hAnsi="Calibri Light" w:cs="Times New Roman"/>
      <w:b/>
      <w:bCs/>
      <w:kern w:val="32"/>
      <w:sz w:val="32"/>
      <w:szCs w:val="32"/>
    </w:rPr>
  </w:style>
  <w:style w:type="paragraph" w:styleId="a5">
    <w:name w:val="header"/>
    <w:basedOn w:val="a"/>
    <w:link w:val="a6"/>
    <w:uiPriority w:val="99"/>
    <w:unhideWhenUsed/>
    <w:pPr>
      <w:tabs>
        <w:tab w:val="center" w:pos="4677"/>
        <w:tab w:val="right" w:pos="9355"/>
      </w:tabs>
    </w:pPr>
  </w:style>
  <w:style w:type="character" w:customStyle="1" w:styleId="a6">
    <w:name w:val="Верхний колонтитул Знак"/>
    <w:basedOn w:val="a0"/>
    <w:link w:val="a5"/>
    <w:uiPriority w:val="99"/>
    <w:rPr>
      <w:sz w:val="24"/>
      <w:szCs w:val="24"/>
    </w:rPr>
  </w:style>
  <w:style w:type="paragraph" w:styleId="a7">
    <w:name w:val="footer"/>
    <w:basedOn w:val="a"/>
    <w:link w:val="a8"/>
    <w:unhideWhenUsed/>
    <w:pPr>
      <w:tabs>
        <w:tab w:val="center" w:pos="4677"/>
        <w:tab w:val="right" w:pos="9355"/>
      </w:tabs>
    </w:pPr>
  </w:style>
  <w:style w:type="character" w:customStyle="1" w:styleId="a8">
    <w:name w:val="Нижний колонтитул Знак"/>
    <w:basedOn w:val="a0"/>
    <w:link w:val="a7"/>
    <w:rPr>
      <w:sz w:val="24"/>
      <w:szCs w:val="24"/>
    </w:rPr>
  </w:style>
  <w:style w:type="character" w:customStyle="1" w:styleId="Subst">
    <w:name w:val="Subst"/>
    <w:basedOn w:val="a0"/>
    <w:uiPriority w:val="99"/>
    <w:rPr>
      <w:rFonts w:ascii="Arial Narrow" w:hAnsi="Arial Narrow" w:hint="default"/>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2</Pages>
  <Words>584</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СООБЩЕНИЕ</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
  <dc:creator>Belov</dc:creator>
  <cp:keywords/>
  <dc:description/>
  <cp:lastModifiedBy>Баканова Ирина Александровна</cp:lastModifiedBy>
  <cp:revision>15</cp:revision>
  <cp:lastPrinted>2016-04-14T08:51:00Z</cp:lastPrinted>
  <dcterms:created xsi:type="dcterms:W3CDTF">2022-06-22T10:46:00Z</dcterms:created>
  <dcterms:modified xsi:type="dcterms:W3CDTF">2023-09-29T11:02:00Z</dcterms:modified>
</cp:coreProperties>
</file>